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 -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PBPK model outlined above was evaluated on seven compounds, comparing the predicted pharmacokinetics to clinical pharmacokinetic data. Each subsection that follows will contain an introduction to the compound under consideration, a description of the PBPK model in a healthy population, and the subsequent extension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 While gabapentin is a substrate of the OCT2 influx transporter in kidney, co-administration in humans with the OCT2 inhibitor C</w:t>
      </w:r>
      <w:r>
        <w:t xml:space="preserve">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Blum 1994 study data.</w:t>
      </w:r>
      <w:r>
        <w:t xml:space="preserve">REF</w:t>
      </w:r>
    </w:p>
    <w:p>
      <w:r>
        <w:br w:type="page"/>
      </w:r>
    </w:p>
    <w:p>
      <w:pPr>
        <w:pStyle w:val="CaptionedFigure"/>
      </w:pPr>
      <w:r>
        <w:drawing>
          <wp:inline>
            <wp:extent cx="5969000" cy="4083790"/>
            <wp:effectExtent b="0" l="0" r="0" t="0"/>
            <wp:docPr descr="Figure 1: Time Profile Analysis"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Time Profile Analysis</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Roux 1980 (eGFR 30-59 mL/min/1.73m</w:t>
      </w:r>
      <w:r>
        <w:t xml:space="preserve">2</w:t>
      </w:r>
      <w:r>
        <w:t xml:space="preserve">). Simulation of the pharmacokinetics of gabapentin after a single oral dose of 400 mg in this target population is presented in Figure 3.1.2.</w:t>
      </w:r>
    </w:p>
    <w:p>
      <w:pPr>
        <w:pStyle w:val="Textkrper"/>
      </w:pPr>
      <w:r>
        <w:t xml:space="preserve">A population with Stage 4-5 CKD was created according to the demographic parameters of the target population presented in the study of Roux 1980 (eGFR 1-30 mL/min/1.73m</w:t>
      </w:r>
      <w:r>
        <w:t xml:space="preserve">2</w:t>
      </w:r>
      <w:r>
        <w:t xml:space="preserve">). Simulation of the pharmacokinetics of gabapentin after a single oral dose of 400 mg in this target population is presented in Figure 3.1.3.</w:t>
      </w:r>
    </w:p>
    <w:p>
      <w:r>
        <w:br w:type="page"/>
      </w:r>
    </w:p>
    <w:p>
      <w:pPr>
        <w:pStyle w:val="CaptionedFigure"/>
      </w:pPr>
      <w:r>
        <w:drawing>
          <wp:inline>
            <wp:extent cx="5969000" cy="4083790"/>
            <wp:effectExtent b="0" l="0" r="0" t="0"/>
            <wp:docPr descr="Figure 2: Time Profile Analysis"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Time Profile Analysis</w:t>
      </w:r>
    </w:p>
    <w:p>
      <w:pPr>
        <w:pStyle w:val="Textkrper"/>
      </w:pPr>
      <w:r>
        <w:t xml:space="preserve"> </w:t>
      </w:r>
    </w:p>
    <w:p>
      <w:r>
        <w:br w:type="page"/>
      </w:r>
    </w:p>
    <w:p>
      <w:pPr>
        <w:pStyle w:val="CaptionedFigure"/>
      </w:pPr>
      <w:r>
        <w:drawing>
          <wp:inline>
            <wp:extent cx="5969000" cy="4083790"/>
            <wp:effectExtent b="0" l="0" r="0" t="0"/>
            <wp:docPr descr="Figure 3: Time Profile Analysis"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Time Profile Analysis</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IV-oral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CYP concentration</w:t>
            </w:r>
          </w:p>
        </w:tc>
        <w:tc>
          <w:tcPr/>
          <w:p>
            <w:pPr>
              <w:pStyle w:val="Compact"/>
              <w:jc w:val="left"/>
            </w:pPr>
            <w:r>
              <w:t xml:space="preserve">log-normally distributed with mean 1.0 µM and geometric SD 1.40 µM</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Time Profile Analysis"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Time Profile Analysis</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 Figure 3.2.2.</w:t>
      </w:r>
    </w:p>
    <w:p>
      <w:r>
        <w:br w:type="page"/>
      </w:r>
    </w:p>
    <w:p>
      <w:pPr>
        <w:pStyle w:val="CaptionedFigure"/>
      </w:pPr>
      <w:r>
        <w:drawing>
          <wp:inline>
            <wp:extent cx="5969000" cy="4083790"/>
            <wp:effectExtent b="0" l="0" r="0" t="0"/>
            <wp:docPr descr="Figure 5: Time Profile Analysis"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Time Profile Analysis</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49</w:t>
      </w:r>
      <w:r>
        <w:t xml:space="preserve"> </w:t>
      </w:r>
      <w:r>
        <w:t xml:space="preserve">Following oral administration, 50-60% of the dose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50</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IV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atenolol oral model construction</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3.3.2, and 3.3.3 demonstrate the simulated oral model PK profiles in a population compared against observed data from Wan 1979, Kirch 1981, and Sassard 1977, respectively.</w:t>
      </w:r>
      <w:r>
        <w:t xml:space="preserve">REF,REF,REF</w:t>
      </w:r>
      <w:r>
        <w:t xml:space="preserve">.</w:t>
      </w:r>
    </w:p>
    <w:p>
      <w:r>
        <w:br w:type="page"/>
      </w:r>
    </w:p>
    <w:p>
      <w:pPr>
        <w:pStyle w:val="CaptionedFigure"/>
      </w:pPr>
      <w:r>
        <w:drawing>
          <wp:inline>
            <wp:extent cx="5969000" cy="4083790"/>
            <wp:effectExtent b="0" l="0" r="0" t="0"/>
            <wp:docPr descr="Figure 6: Time Profile Analysis"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Time Profile Analysis</w:t>
      </w:r>
    </w:p>
    <w:p>
      <w:pPr>
        <w:pStyle w:val="Textkrper"/>
      </w:pPr>
      <w:r>
        <w:t xml:space="preserve"> </w:t>
      </w:r>
    </w:p>
    <w:p>
      <w:r>
        <w:br w:type="page"/>
      </w:r>
    </w:p>
    <w:p>
      <w:pPr>
        <w:pStyle w:val="CaptionedFigure"/>
      </w:pPr>
      <w:r>
        <w:drawing>
          <wp:inline>
            <wp:extent cx="5969000" cy="4083790"/>
            <wp:effectExtent b="0" l="0" r="0" t="0"/>
            <wp:docPr descr="Figure 7: Time Profile Analysis"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Time Profile Analysis</w:t>
      </w:r>
    </w:p>
    <w:p>
      <w:pPr>
        <w:pStyle w:val="Textkrper"/>
      </w:pPr>
      <w:r>
        <w:t xml:space="preserve"> </w:t>
      </w:r>
    </w:p>
    <w:p>
      <w:r>
        <w:br w:type="page"/>
      </w:r>
    </w:p>
    <w:p>
      <w:pPr>
        <w:pStyle w:val="CaptionedFigure"/>
      </w:pPr>
      <w:r>
        <w:drawing>
          <wp:inline>
            <wp:extent cx="5969000" cy="4083790"/>
            <wp:effectExtent b="0" l="0" r="0" t="0"/>
            <wp:docPr descr="Figure 8: Time Profile Analysis"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Time Profile Analysis</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 (eGFR 37-60 mL/min/1.73m</w:t>
      </w:r>
      <w:r>
        <w:t xml:space="preserve">2</w:t>
      </w:r>
      <w:r>
        <w:t xml:space="preserve">). Simulation of the pharmacokinetics of atenolol after multiple oral doses of 100 mg once daily for 7 days in this target population is presented in Figure 3.3.4.</w:t>
      </w:r>
    </w:p>
    <w:p>
      <w:pPr>
        <w:pStyle w:val="Textkrper"/>
      </w:pPr>
      <w:r>
        <w:t xml:space="preserve">A population with Stage 4 CKD was created according to the demographic parameters of the target population presented in the study of Kirch 1981 (eGFR 17-30 mL/min/1.73m</w:t>
      </w:r>
      <w:r>
        <w:t xml:space="preserve">2</w:t>
      </w:r>
      <w:r>
        <w:t xml:space="preserve">). Simulation of the pharmacokinetics of atenolol after multiple oral doses of 100 mg once daily for 7 days in this target population is presented in Figure 3.3.5.</w:t>
      </w:r>
    </w:p>
    <w:p>
      <w:pPr>
        <w:pStyle w:val="Textkrper"/>
      </w:pPr>
      <w:r>
        <w:t xml:space="preserve">A population with Stage 5 CKD was created according to the demographic parameters of the target population presented in the study of Kirch 1981 (eGFR 5-9 mL/min/1.73m</w:t>
      </w:r>
      <w:r>
        <w:t xml:space="preserve">2</w:t>
      </w:r>
      <w:r>
        <w:t xml:space="preserve">). Simulation of the pharmacokinetics of atenolol after multiple oral doses of 100 mg once daily for 7 days in this target population is presented in Figure 3.3.6.</w:t>
      </w:r>
    </w:p>
    <w:p>
      <w:pPr>
        <w:pStyle w:val="Textkrper"/>
      </w:pPr>
      <w:r>
        <w:t xml:space="preserve">A population with Stage 3 CKD was created according to the demographic parameters of the target population presented in the study of Sassard 1977 (eGFR 46-60 mL/min/1.73m</w:t>
      </w:r>
      <w:r>
        <w:t xml:space="preserve">2</w:t>
      </w:r>
      <w:r>
        <w:t xml:space="preserve">). Simulation of the whole blood pharmacokinetics of atenolol after a single oral dose of 100 mg in this target population is presented in Figure 3.3.7.</w:t>
      </w:r>
    </w:p>
    <w:p>
      <w:pPr>
        <w:pStyle w:val="Textkrper"/>
      </w:pPr>
      <w:r>
        <w:t xml:space="preserve">A population with Stage 4-5 CKD was created according to the demographic parameters of the target population presented in the study of Sassard 1977 (eGFR 8-24 mL/min/1.73m</w:t>
      </w:r>
      <w:r>
        <w:t xml:space="preserve">2</w:t>
      </w:r>
      <w:r>
        <w:t xml:space="preserve">). Simulation of the whole blood pharmacokinetics of atenolol after a single oral dose of 100 mg in this target population is presented in Figure 3.3.8.</w:t>
      </w:r>
    </w:p>
    <w:p>
      <w:pPr>
        <w:pStyle w:val="Textkrper"/>
      </w:pPr>
      <w:r>
        <w:t xml:space="preserve">A population with Stage 3-4 CKD was created according to the demographic parameters of the target population presented in the study of Wan 1979 (eGFR 15-42 mL/min/1.73m</w:t>
      </w:r>
      <w:r>
        <w:t xml:space="preserve">2</w:t>
      </w:r>
      <w:r>
        <w:t xml:space="preserve">). Simulation of the pharmacokinetics of atenolol after a single oral dose of 50 mg in this target population is presented in Figure 3.3.9.</w:t>
      </w:r>
    </w:p>
    <w:p>
      <w:r>
        <w:br w:type="page"/>
      </w:r>
    </w:p>
    <w:p>
      <w:pPr>
        <w:pStyle w:val="CaptionedFigure"/>
      </w:pPr>
      <w:r>
        <w:drawing>
          <wp:inline>
            <wp:extent cx="5969000" cy="4083790"/>
            <wp:effectExtent b="0" l="0" r="0" t="0"/>
            <wp:docPr descr="Figure 9: Time Profile Analysis"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Time Profile Analysis</w:t>
      </w:r>
    </w:p>
    <w:p>
      <w:pPr>
        <w:pStyle w:val="Textkrper"/>
      </w:pPr>
      <w:r>
        <w:t xml:space="preserve"> </w:t>
      </w:r>
    </w:p>
    <w:p>
      <w:r>
        <w:br w:type="page"/>
      </w:r>
    </w:p>
    <w:p>
      <w:pPr>
        <w:pStyle w:val="CaptionedFigure"/>
      </w:pPr>
      <w:r>
        <w:drawing>
          <wp:inline>
            <wp:extent cx="5969000" cy="4083790"/>
            <wp:effectExtent b="0" l="0" r="0" t="0"/>
            <wp:docPr descr="Figure 10: Time Profile Analysis"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Time Profile Analysis</w:t>
      </w:r>
    </w:p>
    <w:p>
      <w:pPr>
        <w:pStyle w:val="Textkrper"/>
      </w:pPr>
      <w:r>
        <w:t xml:space="preserve"> </w:t>
      </w:r>
    </w:p>
    <w:p>
      <w:r>
        <w:br w:type="page"/>
      </w:r>
    </w:p>
    <w:p>
      <w:pPr>
        <w:pStyle w:val="CaptionedFigure"/>
      </w:pPr>
      <w:r>
        <w:drawing>
          <wp:inline>
            <wp:extent cx="5969000" cy="4083790"/>
            <wp:effectExtent b="0" l="0" r="0" t="0"/>
            <wp:docPr descr="Figure 11: Time Profile Analysis"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Time Profile Analysis</w:t>
      </w:r>
    </w:p>
    <w:p>
      <w:pPr>
        <w:pStyle w:val="Textkrper"/>
      </w:pPr>
      <w:r>
        <w:t xml:space="preserve"> </w:t>
      </w:r>
    </w:p>
    <w:p>
      <w:r>
        <w:br w:type="page"/>
      </w:r>
    </w:p>
    <w:p>
      <w:pPr>
        <w:pStyle w:val="CaptionedFigure"/>
      </w:pPr>
      <w:r>
        <w:drawing>
          <wp:inline>
            <wp:extent cx="5969000" cy="4083790"/>
            <wp:effectExtent b="0" l="0" r="0" t="0"/>
            <wp:docPr descr="Figure 12: Time Profile Analysis"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Time Profile Analysis</w:t>
      </w:r>
    </w:p>
    <w:p>
      <w:pPr>
        <w:pStyle w:val="Textkrper"/>
      </w:pPr>
      <w:r>
        <w:t xml:space="preserve"> </w:t>
      </w:r>
    </w:p>
    <w:p>
      <w:r>
        <w:br w:type="page"/>
      </w:r>
    </w:p>
    <w:p>
      <w:pPr>
        <w:pStyle w:val="CaptionedFigure"/>
      </w:pPr>
      <w:r>
        <w:drawing>
          <wp:inline>
            <wp:extent cx="5969000" cy="4083790"/>
            <wp:effectExtent b="0" l="0" r="0" t="0"/>
            <wp:docPr descr="Figure 13: Time Profile Analysis"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Time Profile Analysis</w:t>
      </w:r>
    </w:p>
    <w:p>
      <w:pPr>
        <w:pStyle w:val="Textkrper"/>
      </w:pPr>
      <w:r>
        <w:t xml:space="preserve"> </w:t>
      </w:r>
    </w:p>
    <w:p>
      <w:r>
        <w:br w:type="page"/>
      </w:r>
    </w:p>
    <w:p>
      <w:pPr>
        <w:pStyle w:val="CaptionedFigure"/>
      </w:pPr>
      <w:r>
        <w:drawing>
          <wp:inline>
            <wp:extent cx="5969000" cy="4083790"/>
            <wp:effectExtent b="0" l="0" r="0" t="0"/>
            <wp:docPr descr="Figure 14: Time Profile Analysis"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Time Profile Analysis</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2022-05-02T21:37:19Z</dcterms:created>
  <dcterms:modified xsi:type="dcterms:W3CDTF">2022-05-02T21:37:19Z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